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36" w:rsidRDefault="00BC727D" w:rsidP="005C3E88">
      <w:pPr>
        <w:contextualSpacing/>
        <w:jc w:val="center"/>
        <w:rPr>
          <w:b/>
          <w:i/>
          <w:sz w:val="40"/>
          <w:szCs w:val="40"/>
        </w:rPr>
      </w:pPr>
      <w:r w:rsidRPr="00B72AE2">
        <w:rPr>
          <w:b/>
          <w:i/>
          <w:sz w:val="40"/>
          <w:szCs w:val="40"/>
        </w:rPr>
        <w:t>Spokane Low Income Housing Consortium</w:t>
      </w:r>
      <w:r w:rsidR="00312DE2" w:rsidRPr="00B72AE2">
        <w:rPr>
          <w:b/>
          <w:i/>
          <w:sz w:val="40"/>
          <w:szCs w:val="40"/>
        </w:rPr>
        <w:t xml:space="preserve"> </w:t>
      </w:r>
    </w:p>
    <w:p w:rsidR="00EF61B3" w:rsidRPr="00B72AE2" w:rsidRDefault="00312DE2" w:rsidP="005C3E88">
      <w:pPr>
        <w:contextualSpacing/>
        <w:jc w:val="center"/>
        <w:rPr>
          <w:b/>
          <w:i/>
          <w:sz w:val="40"/>
          <w:szCs w:val="40"/>
        </w:rPr>
      </w:pPr>
      <w:r w:rsidRPr="00B72AE2">
        <w:rPr>
          <w:b/>
          <w:i/>
          <w:sz w:val="40"/>
          <w:szCs w:val="40"/>
        </w:rPr>
        <w:t>2015</w:t>
      </w:r>
      <w:r w:rsidR="00EF61B3" w:rsidRPr="00B72AE2">
        <w:rPr>
          <w:b/>
          <w:i/>
          <w:sz w:val="40"/>
          <w:szCs w:val="40"/>
        </w:rPr>
        <w:t xml:space="preserve"> Annual Report</w:t>
      </w:r>
    </w:p>
    <w:p w:rsidR="00EF61B3" w:rsidRPr="00B72AE2" w:rsidRDefault="00312DE2" w:rsidP="00EF61B3">
      <w:pPr>
        <w:numPr>
          <w:ilvl w:val="0"/>
          <w:numId w:val="2"/>
        </w:numPr>
        <w:contextualSpacing/>
        <w:rPr>
          <w:rFonts w:cs="Arial"/>
          <w:sz w:val="28"/>
          <w:szCs w:val="28"/>
        </w:rPr>
      </w:pPr>
      <w:r w:rsidRPr="00B72AE2">
        <w:rPr>
          <w:rFonts w:cs="Arial"/>
          <w:sz w:val="28"/>
          <w:szCs w:val="28"/>
        </w:rPr>
        <w:t xml:space="preserve">We convened </w:t>
      </w:r>
      <w:r w:rsidR="00EF61B3" w:rsidRPr="00B72AE2">
        <w:rPr>
          <w:rFonts w:cs="Arial"/>
          <w:sz w:val="28"/>
          <w:szCs w:val="28"/>
        </w:rPr>
        <w:t>Spokane Asset</w:t>
      </w:r>
      <w:r w:rsidR="00635167" w:rsidRPr="00B72AE2">
        <w:rPr>
          <w:rFonts w:cs="Arial"/>
          <w:sz w:val="28"/>
          <w:szCs w:val="28"/>
        </w:rPr>
        <w:t xml:space="preserve"> Management Work Group</w:t>
      </w:r>
      <w:r w:rsidRPr="00B72AE2">
        <w:rPr>
          <w:rFonts w:cs="Arial"/>
          <w:sz w:val="28"/>
          <w:szCs w:val="28"/>
        </w:rPr>
        <w:t xml:space="preserve"> trainings</w:t>
      </w:r>
      <w:r w:rsidR="00635167" w:rsidRPr="00B72AE2">
        <w:rPr>
          <w:rFonts w:cs="Arial"/>
          <w:sz w:val="28"/>
          <w:szCs w:val="28"/>
        </w:rPr>
        <w:t>, helping to ensure</w:t>
      </w:r>
      <w:r w:rsidR="00EF61B3" w:rsidRPr="00B72AE2">
        <w:rPr>
          <w:rFonts w:cs="Arial"/>
          <w:sz w:val="28"/>
          <w:szCs w:val="28"/>
        </w:rPr>
        <w:t xml:space="preserve"> the long-term preservation of our affordable housing communities. </w:t>
      </w:r>
    </w:p>
    <w:p w:rsidR="00EF61B3" w:rsidRPr="00B72AE2" w:rsidRDefault="00EF61B3" w:rsidP="00EF61B3">
      <w:pPr>
        <w:numPr>
          <w:ilvl w:val="0"/>
          <w:numId w:val="2"/>
        </w:numPr>
        <w:contextualSpacing/>
        <w:rPr>
          <w:rFonts w:cs="Arial"/>
          <w:sz w:val="28"/>
          <w:szCs w:val="28"/>
        </w:rPr>
      </w:pPr>
      <w:r w:rsidRPr="00B72AE2">
        <w:rPr>
          <w:rFonts w:cs="Arial"/>
          <w:sz w:val="28"/>
          <w:szCs w:val="28"/>
        </w:rPr>
        <w:t>We conducted affordable rental surveys and other research that assisted our region to make educated decisions about affordable housing development.</w:t>
      </w:r>
    </w:p>
    <w:p w:rsidR="00EF61B3" w:rsidRPr="00B72AE2" w:rsidRDefault="00EF61B3" w:rsidP="00EF61B3">
      <w:pPr>
        <w:numPr>
          <w:ilvl w:val="0"/>
          <w:numId w:val="2"/>
        </w:numPr>
        <w:shd w:val="clear" w:color="auto" w:fill="FFFFFF"/>
        <w:contextualSpacing/>
        <w:rPr>
          <w:rFonts w:cs="Arial"/>
          <w:sz w:val="28"/>
          <w:szCs w:val="28"/>
        </w:rPr>
      </w:pPr>
      <w:r w:rsidRPr="00B72AE2">
        <w:rPr>
          <w:rFonts w:cs="Arial"/>
          <w:sz w:val="28"/>
          <w:szCs w:val="28"/>
        </w:rPr>
        <w:t>We met with our 3</w:t>
      </w:r>
      <w:r w:rsidRPr="00B72AE2">
        <w:rPr>
          <w:rFonts w:cs="Arial"/>
          <w:sz w:val="28"/>
          <w:szCs w:val="28"/>
          <w:vertAlign w:val="superscript"/>
        </w:rPr>
        <w:t>rd</w:t>
      </w:r>
      <w:r w:rsidRPr="00B72AE2">
        <w:rPr>
          <w:rFonts w:cs="Arial"/>
          <w:sz w:val="28"/>
          <w:szCs w:val="28"/>
        </w:rPr>
        <w:t>, 4</w:t>
      </w:r>
      <w:r w:rsidRPr="00B72AE2">
        <w:rPr>
          <w:rFonts w:cs="Arial"/>
          <w:sz w:val="28"/>
          <w:szCs w:val="28"/>
          <w:vertAlign w:val="superscript"/>
        </w:rPr>
        <w:t>th</w:t>
      </w:r>
      <w:r w:rsidRPr="00B72AE2">
        <w:rPr>
          <w:rFonts w:cs="Arial"/>
          <w:sz w:val="28"/>
          <w:szCs w:val="28"/>
        </w:rPr>
        <w:t>, and 6</w:t>
      </w:r>
      <w:r w:rsidRPr="00B72AE2">
        <w:rPr>
          <w:rFonts w:cs="Arial"/>
          <w:sz w:val="28"/>
          <w:szCs w:val="28"/>
          <w:vertAlign w:val="superscript"/>
        </w:rPr>
        <w:t>th</w:t>
      </w:r>
      <w:r w:rsidRPr="00B72AE2">
        <w:rPr>
          <w:rFonts w:cs="Arial"/>
          <w:sz w:val="28"/>
          <w:szCs w:val="28"/>
        </w:rPr>
        <w:t xml:space="preserve"> district legislators, thanking them for their positive impact on our vulnerable citizens and requesting that they continue to support programs that provide housing and support services.  </w:t>
      </w:r>
    </w:p>
    <w:p w:rsidR="003E2FA5" w:rsidRPr="00B72AE2" w:rsidRDefault="003E2FA5" w:rsidP="00EF61B3">
      <w:pPr>
        <w:numPr>
          <w:ilvl w:val="0"/>
          <w:numId w:val="2"/>
        </w:numPr>
        <w:shd w:val="clear" w:color="auto" w:fill="FFFFFF"/>
        <w:contextualSpacing/>
        <w:rPr>
          <w:rFonts w:cs="Arial"/>
          <w:sz w:val="28"/>
          <w:szCs w:val="28"/>
        </w:rPr>
      </w:pPr>
      <w:r w:rsidRPr="00B72AE2">
        <w:rPr>
          <w:rFonts w:cs="Arial"/>
          <w:sz w:val="28"/>
          <w:szCs w:val="28"/>
        </w:rPr>
        <w:t>We worked with others across the State to secure a $75 million investment in the Housing Trust Fund.</w:t>
      </w:r>
    </w:p>
    <w:p w:rsidR="002B7A77" w:rsidRPr="00B72AE2" w:rsidRDefault="003E2FA5" w:rsidP="00EF61B3">
      <w:pPr>
        <w:numPr>
          <w:ilvl w:val="0"/>
          <w:numId w:val="2"/>
        </w:numPr>
        <w:shd w:val="clear" w:color="auto" w:fill="FFFFFF"/>
        <w:contextualSpacing/>
        <w:rPr>
          <w:rFonts w:cs="Arial"/>
          <w:sz w:val="28"/>
          <w:szCs w:val="28"/>
        </w:rPr>
      </w:pPr>
      <w:r w:rsidRPr="00B72AE2">
        <w:rPr>
          <w:rFonts w:cs="Arial"/>
          <w:sz w:val="28"/>
          <w:szCs w:val="28"/>
        </w:rPr>
        <w:t xml:space="preserve"> </w:t>
      </w:r>
      <w:r w:rsidR="002B7A77" w:rsidRPr="00B72AE2">
        <w:rPr>
          <w:rFonts w:cs="Arial"/>
          <w:sz w:val="28"/>
          <w:szCs w:val="28"/>
        </w:rPr>
        <w:t xml:space="preserve">We worked with the City of Spokane Valley council members and the Greater </w:t>
      </w:r>
      <w:r w:rsidR="00635167" w:rsidRPr="00B72AE2">
        <w:rPr>
          <w:rFonts w:cs="Arial"/>
          <w:sz w:val="28"/>
          <w:szCs w:val="28"/>
        </w:rPr>
        <w:t xml:space="preserve">Valley Support </w:t>
      </w:r>
      <w:r w:rsidR="006B0441" w:rsidRPr="00B72AE2">
        <w:rPr>
          <w:rFonts w:cs="Arial"/>
          <w:sz w:val="28"/>
          <w:szCs w:val="28"/>
        </w:rPr>
        <w:t>Network to submit</w:t>
      </w:r>
      <w:r w:rsidR="002B7A77" w:rsidRPr="00B72AE2">
        <w:rPr>
          <w:rFonts w:cs="Arial"/>
          <w:sz w:val="28"/>
          <w:szCs w:val="28"/>
        </w:rPr>
        <w:t xml:space="preserve"> amendments to the City’s Comp Plan that expand affordable housing options.</w:t>
      </w:r>
    </w:p>
    <w:p w:rsidR="00B72AE2" w:rsidRPr="00B72AE2" w:rsidRDefault="00B72AE2" w:rsidP="00EF61B3">
      <w:pPr>
        <w:numPr>
          <w:ilvl w:val="0"/>
          <w:numId w:val="2"/>
        </w:numPr>
        <w:shd w:val="clear" w:color="auto" w:fill="FFFFFF"/>
        <w:contextualSpacing/>
        <w:rPr>
          <w:rFonts w:cs="Arial"/>
          <w:sz w:val="28"/>
          <w:szCs w:val="28"/>
        </w:rPr>
      </w:pPr>
      <w:r w:rsidRPr="00B72AE2">
        <w:rPr>
          <w:rFonts w:cs="Arial"/>
          <w:sz w:val="28"/>
          <w:szCs w:val="28"/>
        </w:rPr>
        <w:t>We celebrated 25 years of service to the Spokane community.</w:t>
      </w:r>
    </w:p>
    <w:p w:rsidR="00EF61B3" w:rsidRDefault="00EF61B3" w:rsidP="00EF61B3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</w:p>
    <w:p w:rsidR="00EF61B3" w:rsidRPr="00FA0B4F" w:rsidRDefault="00620A96" w:rsidP="00BC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In 2015</w:t>
      </w:r>
      <w:r w:rsidR="00EF61B3">
        <w:rPr>
          <w:sz w:val="28"/>
          <w:szCs w:val="28"/>
        </w:rPr>
        <w:t>, SLIHC members provided</w:t>
      </w:r>
      <w:r w:rsidR="00EF61B3" w:rsidRPr="00FA0B4F">
        <w:rPr>
          <w:sz w:val="28"/>
          <w:szCs w:val="28"/>
        </w:rPr>
        <w:t xml:space="preserve"> a number of opportunities for people of low income:</w:t>
      </w:r>
    </w:p>
    <w:p w:rsidR="00BC4C5E" w:rsidRDefault="00BC4C5E" w:rsidP="00BC4C5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  <w:color w:val="000000"/>
          <w:sz w:val="22"/>
          <w:szCs w:val="22"/>
        </w:rPr>
      </w:pPr>
      <w:r w:rsidRPr="00DF2E3F">
        <w:rPr>
          <w:i/>
          <w:color w:val="000000"/>
          <w:sz w:val="22"/>
          <w:szCs w:val="22"/>
        </w:rPr>
        <w:t xml:space="preserve">6 </w:t>
      </w:r>
      <w:r>
        <w:rPr>
          <w:i/>
          <w:color w:val="000000"/>
          <w:sz w:val="22"/>
          <w:szCs w:val="22"/>
        </w:rPr>
        <w:tab/>
      </w:r>
      <w:r w:rsidRPr="00DF2E3F">
        <w:rPr>
          <w:i/>
          <w:color w:val="000000"/>
          <w:sz w:val="22"/>
          <w:szCs w:val="22"/>
        </w:rPr>
        <w:t>families purchased homes in The Arc’s Home Ownership Opportunities Program, using $120,000 in down payment assistance. All total, 62 families have become home owners over the past 7 years.</w:t>
      </w:r>
    </w:p>
    <w:p w:rsidR="00BC4C5E" w:rsidRDefault="000F382C" w:rsidP="00BC4C5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252</w:t>
      </w:r>
      <w:r w:rsidR="00BC4C5E">
        <w:rPr>
          <w:i/>
          <w:color w:val="000000"/>
          <w:sz w:val="22"/>
          <w:szCs w:val="22"/>
        </w:rPr>
        <w:tab/>
        <w:t>Rental units are being constructed</w:t>
      </w:r>
      <w:r>
        <w:rPr>
          <w:i/>
          <w:color w:val="000000"/>
          <w:sz w:val="22"/>
          <w:szCs w:val="22"/>
        </w:rPr>
        <w:t xml:space="preserve"> by Catholic Charities, VOA, </w:t>
      </w:r>
      <w:r w:rsidR="00BC4C5E">
        <w:rPr>
          <w:i/>
          <w:color w:val="000000"/>
          <w:sz w:val="22"/>
          <w:szCs w:val="22"/>
        </w:rPr>
        <w:t>Community Frameworks</w:t>
      </w:r>
      <w:r>
        <w:rPr>
          <w:i/>
          <w:color w:val="000000"/>
          <w:sz w:val="22"/>
          <w:szCs w:val="22"/>
        </w:rPr>
        <w:t>, and Commonwealth Agency</w:t>
      </w:r>
    </w:p>
    <w:p w:rsidR="00C23DF0" w:rsidRDefault="003720CB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12</w:t>
      </w:r>
      <w:r w:rsidR="00C450B8">
        <w:rPr>
          <w:i/>
          <w:color w:val="000000"/>
          <w:sz w:val="22"/>
          <w:szCs w:val="22"/>
        </w:rPr>
        <w:tab/>
        <w:t>Households secured homes through Habitat for Humanity-Spokane</w:t>
      </w:r>
    </w:p>
    <w:p w:rsidR="00C23DF0" w:rsidRDefault="00C23DF0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</w:rPr>
      </w:pPr>
      <w:r>
        <w:rPr>
          <w:i/>
        </w:rPr>
        <w:t>240</w:t>
      </w:r>
      <w:r w:rsidR="000F382C">
        <w:rPr>
          <w:i/>
        </w:rPr>
        <w:tab/>
        <w:t>New rental homes opened for occupancy</w:t>
      </w:r>
    </w:p>
    <w:p w:rsidR="00C23DF0" w:rsidRDefault="00911E4F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</w:rPr>
      </w:pPr>
      <w:r w:rsidRPr="00522661">
        <w:rPr>
          <w:i/>
        </w:rPr>
        <w:t>50</w:t>
      </w:r>
      <w:r w:rsidRPr="00522661">
        <w:rPr>
          <w:i/>
        </w:rPr>
        <w:tab/>
      </w:r>
      <w:r w:rsidR="00DD4897" w:rsidRPr="00522661">
        <w:rPr>
          <w:i/>
        </w:rPr>
        <w:t>Affordable r</w:t>
      </w:r>
      <w:r w:rsidRPr="00522661">
        <w:rPr>
          <w:i/>
        </w:rPr>
        <w:t>ental homes were acquired</w:t>
      </w:r>
    </w:p>
    <w:p w:rsidR="00C23DF0" w:rsidRDefault="00911E4F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</w:rPr>
      </w:pPr>
      <w:r w:rsidRPr="00522661">
        <w:rPr>
          <w:i/>
        </w:rPr>
        <w:t>84</w:t>
      </w:r>
      <w:r w:rsidR="00DD4897" w:rsidRPr="00522661">
        <w:rPr>
          <w:i/>
        </w:rPr>
        <w:tab/>
        <w:t>Affordable r</w:t>
      </w:r>
      <w:r w:rsidR="00EF61B3" w:rsidRPr="00522661">
        <w:rPr>
          <w:i/>
        </w:rPr>
        <w:t>ental homes were preserved through rehabilitation</w:t>
      </w:r>
    </w:p>
    <w:p w:rsidR="00C23DF0" w:rsidRDefault="00DD4897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</w:rPr>
      </w:pPr>
      <w:r w:rsidRPr="00522661">
        <w:rPr>
          <w:i/>
        </w:rPr>
        <w:t>30</w:t>
      </w:r>
      <w:r w:rsidR="00EF61B3" w:rsidRPr="00522661">
        <w:rPr>
          <w:i/>
        </w:rPr>
        <w:t xml:space="preserve"> </w:t>
      </w:r>
      <w:r w:rsidR="00EF61B3" w:rsidRPr="00522661">
        <w:rPr>
          <w:i/>
        </w:rPr>
        <w:tab/>
        <w:t>Individuals/families became homeowners</w:t>
      </w:r>
    </w:p>
    <w:p w:rsidR="00C23DF0" w:rsidRDefault="00CF5EED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</w:rPr>
      </w:pPr>
      <w:r w:rsidRPr="00522661">
        <w:rPr>
          <w:i/>
        </w:rPr>
        <w:t>219</w:t>
      </w:r>
      <w:r w:rsidRPr="00522661">
        <w:rPr>
          <w:i/>
        </w:rPr>
        <w:tab/>
        <w:t>Families avoided foreclosure</w:t>
      </w:r>
    </w:p>
    <w:p w:rsidR="00C23DF0" w:rsidRDefault="00CF5EED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</w:rPr>
      </w:pPr>
      <w:r w:rsidRPr="00522661">
        <w:rPr>
          <w:i/>
        </w:rPr>
        <w:t>220</w:t>
      </w:r>
      <w:r w:rsidRPr="00522661">
        <w:rPr>
          <w:i/>
        </w:rPr>
        <w:tab/>
        <w:t>Homes were weatherized</w:t>
      </w:r>
    </w:p>
    <w:p w:rsidR="00C23DF0" w:rsidRDefault="00CF5EED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</w:rPr>
      </w:pPr>
      <w:r w:rsidRPr="00522661">
        <w:rPr>
          <w:i/>
        </w:rPr>
        <w:t>2,451</w:t>
      </w:r>
      <w:r w:rsidR="00522661">
        <w:rPr>
          <w:i/>
        </w:rPr>
        <w:tab/>
      </w:r>
      <w:r w:rsidRPr="00522661">
        <w:rPr>
          <w:i/>
        </w:rPr>
        <w:t>Households experiencing homelessness received services at SNAP</w:t>
      </w:r>
    </w:p>
    <w:p w:rsidR="00C23DF0" w:rsidRDefault="00DD4897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</w:rPr>
      </w:pPr>
      <w:r w:rsidRPr="00522661">
        <w:rPr>
          <w:i/>
        </w:rPr>
        <w:t>328</w:t>
      </w:r>
      <w:r w:rsidRPr="00522661">
        <w:rPr>
          <w:i/>
        </w:rPr>
        <w:tab/>
        <w:t>Families were served in St. Margaret’s rapid re-housing program</w:t>
      </w:r>
    </w:p>
    <w:p w:rsidR="00C23DF0" w:rsidRDefault="00DD4897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</w:rPr>
      </w:pPr>
      <w:r w:rsidRPr="00522661">
        <w:rPr>
          <w:i/>
        </w:rPr>
        <w:t>2,148</w:t>
      </w:r>
      <w:r w:rsidRPr="00522661">
        <w:rPr>
          <w:i/>
        </w:rPr>
        <w:tab/>
        <w:t>People were served at the House of Charity</w:t>
      </w:r>
    </w:p>
    <w:p w:rsidR="00C23DF0" w:rsidRDefault="00DD4897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</w:rPr>
      </w:pPr>
      <w:r w:rsidRPr="00522661">
        <w:rPr>
          <w:i/>
        </w:rPr>
        <w:t>127</w:t>
      </w:r>
      <w:r w:rsidRPr="00522661">
        <w:rPr>
          <w:i/>
        </w:rPr>
        <w:tab/>
        <w:t>People were served in a Catholic Charities respite program</w:t>
      </w:r>
    </w:p>
    <w:p w:rsidR="00C23DF0" w:rsidRDefault="000E4B92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</w:rPr>
      </w:pPr>
      <w:r w:rsidRPr="00522661">
        <w:rPr>
          <w:i/>
        </w:rPr>
        <w:t>60</w:t>
      </w:r>
      <w:r w:rsidRPr="00522661">
        <w:rPr>
          <w:i/>
        </w:rPr>
        <w:tab/>
        <w:t>Veterans received VOA support services</w:t>
      </w:r>
    </w:p>
    <w:p w:rsidR="00C23DF0" w:rsidRDefault="00CF5EED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</w:rPr>
      </w:pPr>
      <w:r w:rsidRPr="00522661">
        <w:rPr>
          <w:i/>
        </w:rPr>
        <w:t xml:space="preserve">173 </w:t>
      </w:r>
      <w:r w:rsidRPr="00522661">
        <w:rPr>
          <w:i/>
        </w:rPr>
        <w:tab/>
        <w:t>Formerly homeless adults received housing through VOA programs</w:t>
      </w:r>
    </w:p>
    <w:p w:rsidR="00CF5EED" w:rsidRPr="00C23DF0" w:rsidRDefault="00CF5EED" w:rsidP="00C23D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720" w:hanging="720"/>
        <w:contextualSpacing/>
        <w:rPr>
          <w:i/>
          <w:color w:val="000000"/>
          <w:sz w:val="22"/>
          <w:szCs w:val="22"/>
        </w:rPr>
      </w:pPr>
      <w:r w:rsidRPr="00522661">
        <w:rPr>
          <w:i/>
        </w:rPr>
        <w:t>395</w:t>
      </w:r>
      <w:r w:rsidRPr="00522661">
        <w:rPr>
          <w:i/>
        </w:rPr>
        <w:tab/>
        <w:t xml:space="preserve">Adults with chronic mental illness were served at Phoenix House and the Carlyle Care </w:t>
      </w:r>
      <w:proofErr w:type="spellStart"/>
      <w:r w:rsidRPr="00522661">
        <w:rPr>
          <w:i/>
        </w:rPr>
        <w:t>Center</w:t>
      </w:r>
      <w:proofErr w:type="spellEnd"/>
    </w:p>
    <w:p w:rsidR="00EF61B3" w:rsidRPr="003D0C84" w:rsidRDefault="00EF61B3" w:rsidP="00EF61B3">
      <w:pPr>
        <w:contextualSpacing/>
        <w:jc w:val="center"/>
      </w:pPr>
      <w:r w:rsidRPr="003D0C84">
        <w:t>Incorporated in 1990, SLIHC is a membership association that promotes the long-term availability and maximum use of affordable housing in Greater Spokane. Consortium members have collectively develope</w:t>
      </w:r>
      <w:r w:rsidR="00BC727D">
        <w:t xml:space="preserve">d more </w:t>
      </w:r>
      <w:r w:rsidR="00BC727D" w:rsidRPr="00B72AE2">
        <w:t xml:space="preserve">than </w:t>
      </w:r>
      <w:r w:rsidR="00B72AE2" w:rsidRPr="00B72AE2">
        <w:t>3,9</w:t>
      </w:r>
      <w:r w:rsidRPr="00B72AE2">
        <w:t>00</w:t>
      </w:r>
      <w:r w:rsidRPr="003D0C84">
        <w:t xml:space="preserve"> rental homes and have provided well over 2,000 homeownership opportunities for people of low income.</w:t>
      </w:r>
    </w:p>
    <w:p w:rsidR="00EF61B3" w:rsidRPr="003D0C84" w:rsidRDefault="00EF61B3" w:rsidP="00EF61B3">
      <w:pPr>
        <w:contextualSpacing/>
        <w:jc w:val="center"/>
        <w:sectPr w:rsidR="00EF61B3" w:rsidRPr="003D0C84" w:rsidSect="00561C12">
          <w:pgSz w:w="11906" w:h="16838"/>
          <w:pgMar w:top="1008" w:right="1440" w:bottom="1008" w:left="1440" w:header="720" w:footer="720" w:gutter="0"/>
          <w:cols w:space="720"/>
          <w:docGrid w:linePitch="360"/>
        </w:sectPr>
      </w:pPr>
    </w:p>
    <w:p w:rsidR="00EF61B3" w:rsidRDefault="00EF61B3" w:rsidP="00EF61B3">
      <w:pPr>
        <w:contextualSpacing/>
        <w:jc w:val="center"/>
      </w:pPr>
    </w:p>
    <w:p w:rsidR="00EF61B3" w:rsidRDefault="0059551F" w:rsidP="00EF61B3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201</w:t>
      </w:r>
      <w:r w:rsidR="00850CB4">
        <w:rPr>
          <w:rFonts w:ascii="Times New Roman" w:hAnsi="Times New Roman"/>
          <w:b/>
          <w:i/>
          <w:sz w:val="36"/>
          <w:szCs w:val="36"/>
        </w:rPr>
        <w:t>5</w:t>
      </w:r>
      <w:r w:rsidR="00EF61B3">
        <w:rPr>
          <w:rFonts w:ascii="Times New Roman" w:hAnsi="Times New Roman"/>
          <w:b/>
          <w:i/>
          <w:sz w:val="36"/>
          <w:szCs w:val="36"/>
        </w:rPr>
        <w:t xml:space="preserve"> Financial Information</w:t>
      </w:r>
    </w:p>
    <w:p w:rsidR="008B7B00" w:rsidRDefault="008B7B00" w:rsidP="00EF61B3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F61B3" w:rsidRPr="008B6B6B" w:rsidRDefault="00EF61B3" w:rsidP="00EF61B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Revenue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8B6B6B">
        <w:rPr>
          <w:b/>
          <w:i/>
          <w:sz w:val="28"/>
          <w:szCs w:val="28"/>
        </w:rPr>
        <w:t>Expenses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529"/>
        <w:gridCol w:w="257"/>
        <w:gridCol w:w="3642"/>
        <w:gridCol w:w="1332"/>
      </w:tblGrid>
      <w:tr w:rsidR="00BB4B46" w:rsidRPr="00EF6481" w:rsidTr="0053756C">
        <w:tc>
          <w:tcPr>
            <w:tcW w:w="2515" w:type="dxa"/>
          </w:tcPr>
          <w:p w:rsidR="00EF61B3" w:rsidRPr="00EF6481" w:rsidRDefault="00850CB4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2014</w:t>
            </w:r>
            <w:r w:rsidR="00EF61B3" w:rsidRPr="00EF6481">
              <w:rPr>
                <w:i/>
                <w:sz w:val="24"/>
                <w:szCs w:val="24"/>
              </w:rPr>
              <w:t xml:space="preserve"> Carryover</w:t>
            </w:r>
          </w:p>
        </w:tc>
        <w:tc>
          <w:tcPr>
            <w:tcW w:w="1733" w:type="dxa"/>
          </w:tcPr>
          <w:p w:rsidR="00EF61B3" w:rsidRPr="00EF6481" w:rsidRDefault="00850CB4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9,988</w:t>
            </w:r>
          </w:p>
        </w:tc>
        <w:tc>
          <w:tcPr>
            <w:tcW w:w="270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8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  <w:r w:rsidRPr="00EF6481">
              <w:rPr>
                <w:i/>
                <w:sz w:val="24"/>
                <w:szCs w:val="24"/>
              </w:rPr>
              <w:t>Salaries &amp; benefits</w:t>
            </w:r>
          </w:p>
        </w:tc>
        <w:tc>
          <w:tcPr>
            <w:tcW w:w="1506" w:type="dxa"/>
          </w:tcPr>
          <w:p w:rsidR="00EF61B3" w:rsidRPr="00EF6481" w:rsidRDefault="00BB4B46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9A2CC1">
              <w:rPr>
                <w:i/>
                <w:sz w:val="24"/>
                <w:szCs w:val="24"/>
              </w:rPr>
              <w:t>5,000</w:t>
            </w:r>
          </w:p>
        </w:tc>
      </w:tr>
      <w:tr w:rsidR="00BB4B46" w:rsidRPr="00EF6481" w:rsidTr="0053756C">
        <w:tc>
          <w:tcPr>
            <w:tcW w:w="2515" w:type="dxa"/>
          </w:tcPr>
          <w:p w:rsidR="00EF61B3" w:rsidRPr="00EF6481" w:rsidRDefault="00BB4B46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Corporate/Foundation</w:t>
            </w:r>
          </w:p>
        </w:tc>
        <w:tc>
          <w:tcPr>
            <w:tcW w:w="1733" w:type="dxa"/>
          </w:tcPr>
          <w:p w:rsidR="00EF61B3" w:rsidRPr="00EF6481" w:rsidRDefault="00850CB4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21,800</w:t>
            </w:r>
          </w:p>
        </w:tc>
        <w:tc>
          <w:tcPr>
            <w:tcW w:w="270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8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  <w:r w:rsidRPr="00EF6481">
              <w:rPr>
                <w:i/>
                <w:sz w:val="24"/>
                <w:szCs w:val="24"/>
              </w:rPr>
              <w:t>Sub-grant contracts</w:t>
            </w:r>
          </w:p>
        </w:tc>
        <w:tc>
          <w:tcPr>
            <w:tcW w:w="1506" w:type="dxa"/>
          </w:tcPr>
          <w:p w:rsidR="00EF61B3" w:rsidRPr="00EF6481" w:rsidRDefault="009A2CC1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9,070</w:t>
            </w:r>
          </w:p>
        </w:tc>
      </w:tr>
      <w:tr w:rsidR="00BB4B46" w:rsidRPr="00EF6481" w:rsidTr="0053756C">
        <w:tc>
          <w:tcPr>
            <w:tcW w:w="2515" w:type="dxa"/>
          </w:tcPr>
          <w:p w:rsidR="00EF61B3" w:rsidRPr="00EF6481" w:rsidRDefault="00850CB4" w:rsidP="00850CB4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Sponsorships</w:t>
            </w:r>
          </w:p>
        </w:tc>
        <w:tc>
          <w:tcPr>
            <w:tcW w:w="1733" w:type="dxa"/>
          </w:tcPr>
          <w:p w:rsidR="00EF61B3" w:rsidRPr="00EF6481" w:rsidRDefault="00850CB4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18,000</w:t>
            </w:r>
          </w:p>
        </w:tc>
        <w:tc>
          <w:tcPr>
            <w:tcW w:w="270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8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  <w:r w:rsidRPr="00EF6481">
              <w:rPr>
                <w:i/>
                <w:sz w:val="24"/>
                <w:szCs w:val="24"/>
              </w:rPr>
              <w:t>Training/</w:t>
            </w:r>
            <w:proofErr w:type="spellStart"/>
            <w:r w:rsidRPr="00EF6481">
              <w:rPr>
                <w:i/>
                <w:sz w:val="24"/>
                <w:szCs w:val="24"/>
              </w:rPr>
              <w:t>Traveling</w:t>
            </w:r>
            <w:proofErr w:type="spellEnd"/>
          </w:p>
        </w:tc>
        <w:tc>
          <w:tcPr>
            <w:tcW w:w="1506" w:type="dxa"/>
          </w:tcPr>
          <w:p w:rsidR="00EF61B3" w:rsidRPr="00EF6481" w:rsidRDefault="008E5224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1,676</w:t>
            </w:r>
          </w:p>
        </w:tc>
      </w:tr>
      <w:tr w:rsidR="00BB4B46" w:rsidRPr="00EF6481" w:rsidTr="0053756C">
        <w:tc>
          <w:tcPr>
            <w:tcW w:w="2515" w:type="dxa"/>
          </w:tcPr>
          <w:p w:rsidR="00EF61B3" w:rsidRPr="00EF6481" w:rsidRDefault="00850CB4" w:rsidP="00BB4B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Tax Credit Donations</w:t>
            </w:r>
          </w:p>
        </w:tc>
        <w:tc>
          <w:tcPr>
            <w:tcW w:w="1733" w:type="dxa"/>
          </w:tcPr>
          <w:p w:rsidR="00EF61B3" w:rsidRPr="00EF6481" w:rsidRDefault="00850CB4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10,000</w:t>
            </w:r>
          </w:p>
        </w:tc>
        <w:tc>
          <w:tcPr>
            <w:tcW w:w="270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8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  <w:r w:rsidRPr="00EF6481">
              <w:rPr>
                <w:i/>
                <w:sz w:val="24"/>
                <w:szCs w:val="24"/>
              </w:rPr>
              <w:t>Rent &amp; office expenses</w:t>
            </w:r>
          </w:p>
        </w:tc>
        <w:tc>
          <w:tcPr>
            <w:tcW w:w="1506" w:type="dxa"/>
          </w:tcPr>
          <w:p w:rsidR="00EF61B3" w:rsidRPr="00EF6481" w:rsidRDefault="009A2CC1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7,642</w:t>
            </w:r>
          </w:p>
        </w:tc>
      </w:tr>
      <w:tr w:rsidR="00BB4B46" w:rsidRPr="00EF6481" w:rsidTr="0053756C">
        <w:tc>
          <w:tcPr>
            <w:tcW w:w="2515" w:type="dxa"/>
          </w:tcPr>
          <w:p w:rsidR="00EF61B3" w:rsidRPr="00EF6481" w:rsidRDefault="00850CB4" w:rsidP="00850CB4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Memberships</w:t>
            </w:r>
          </w:p>
        </w:tc>
        <w:tc>
          <w:tcPr>
            <w:tcW w:w="1733" w:type="dxa"/>
          </w:tcPr>
          <w:p w:rsidR="00EF61B3" w:rsidRPr="00EF6481" w:rsidRDefault="00850CB4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23,875</w:t>
            </w:r>
          </w:p>
        </w:tc>
        <w:tc>
          <w:tcPr>
            <w:tcW w:w="270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8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  <w:r w:rsidRPr="00EF6481">
              <w:rPr>
                <w:i/>
                <w:sz w:val="24"/>
                <w:szCs w:val="24"/>
              </w:rPr>
              <w:t>Forums/meetings</w:t>
            </w:r>
          </w:p>
        </w:tc>
        <w:tc>
          <w:tcPr>
            <w:tcW w:w="1506" w:type="dxa"/>
          </w:tcPr>
          <w:p w:rsidR="00EF61B3" w:rsidRPr="00EF6481" w:rsidRDefault="009A2CC1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1,563</w:t>
            </w:r>
          </w:p>
        </w:tc>
      </w:tr>
      <w:tr w:rsidR="00BB4B46" w:rsidRPr="00EF6481" w:rsidTr="0053756C">
        <w:tc>
          <w:tcPr>
            <w:tcW w:w="2515" w:type="dxa"/>
          </w:tcPr>
          <w:p w:rsidR="00EF61B3" w:rsidRPr="00EF6481" w:rsidRDefault="008E5224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HUD Sec. 4 grant</w:t>
            </w:r>
            <w:r w:rsidR="00850CB4">
              <w:rPr>
                <w:i/>
                <w:sz w:val="24"/>
                <w:szCs w:val="24"/>
              </w:rPr>
              <w:t>s</w:t>
            </w:r>
          </w:p>
        </w:tc>
        <w:tc>
          <w:tcPr>
            <w:tcW w:w="1733" w:type="dxa"/>
          </w:tcPr>
          <w:p w:rsidR="00EF61B3" w:rsidRPr="00EF6481" w:rsidRDefault="00850CB4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16,717</w:t>
            </w:r>
          </w:p>
        </w:tc>
        <w:tc>
          <w:tcPr>
            <w:tcW w:w="270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8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  <w:r w:rsidRPr="00EF6481">
              <w:rPr>
                <w:i/>
                <w:sz w:val="24"/>
                <w:szCs w:val="24"/>
              </w:rPr>
              <w:t>Memberships</w:t>
            </w:r>
            <w:r>
              <w:rPr>
                <w:i/>
                <w:sz w:val="24"/>
                <w:szCs w:val="24"/>
              </w:rPr>
              <w:t>/Subscriptions</w:t>
            </w:r>
            <w:r w:rsidR="00BB4B46">
              <w:rPr>
                <w:i/>
                <w:sz w:val="24"/>
                <w:szCs w:val="24"/>
              </w:rPr>
              <w:t>/Events</w:t>
            </w:r>
          </w:p>
        </w:tc>
        <w:tc>
          <w:tcPr>
            <w:tcW w:w="1506" w:type="dxa"/>
          </w:tcPr>
          <w:p w:rsidR="00EF61B3" w:rsidRPr="00EF6481" w:rsidRDefault="009A2CC1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1,414</w:t>
            </w:r>
          </w:p>
        </w:tc>
      </w:tr>
      <w:tr w:rsidR="00BB4B46" w:rsidRPr="00EF6481" w:rsidTr="0053756C">
        <w:tc>
          <w:tcPr>
            <w:tcW w:w="2515" w:type="dxa"/>
          </w:tcPr>
          <w:p w:rsidR="00EF61B3" w:rsidRPr="00EF6481" w:rsidRDefault="00850CB4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  <w:r w:rsidRPr="00850CB4"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Anniversary Donations</w:t>
            </w:r>
          </w:p>
        </w:tc>
        <w:tc>
          <w:tcPr>
            <w:tcW w:w="1733" w:type="dxa"/>
          </w:tcPr>
          <w:p w:rsidR="00EF61B3" w:rsidRPr="00EF6481" w:rsidRDefault="00850CB4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4,800</w:t>
            </w:r>
          </w:p>
        </w:tc>
        <w:tc>
          <w:tcPr>
            <w:tcW w:w="270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8" w:type="dxa"/>
          </w:tcPr>
          <w:p w:rsidR="00EF61B3" w:rsidRPr="00EF6481" w:rsidRDefault="00EF61B3" w:rsidP="0053756C">
            <w:pPr>
              <w:contextualSpacing/>
              <w:rPr>
                <w:i/>
                <w:sz w:val="24"/>
                <w:szCs w:val="24"/>
              </w:rPr>
            </w:pPr>
            <w:r w:rsidRPr="00EF6481">
              <w:rPr>
                <w:i/>
                <w:sz w:val="24"/>
                <w:szCs w:val="24"/>
              </w:rPr>
              <w:t>Audit &amp; Insurance</w:t>
            </w:r>
          </w:p>
        </w:tc>
        <w:tc>
          <w:tcPr>
            <w:tcW w:w="1506" w:type="dxa"/>
          </w:tcPr>
          <w:p w:rsidR="00EF61B3" w:rsidRPr="00EF6481" w:rsidRDefault="009A2CC1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1,672</w:t>
            </w:r>
          </w:p>
        </w:tc>
      </w:tr>
      <w:tr w:rsidR="000E4B92" w:rsidRPr="00EF6481" w:rsidTr="0053756C">
        <w:tc>
          <w:tcPr>
            <w:tcW w:w="2515" w:type="dxa"/>
          </w:tcPr>
          <w:p w:rsidR="000E4B92" w:rsidRPr="00EF6481" w:rsidRDefault="00850CB4" w:rsidP="000E4B9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</w:t>
            </w:r>
          </w:p>
        </w:tc>
        <w:tc>
          <w:tcPr>
            <w:tcW w:w="1733" w:type="dxa"/>
          </w:tcPr>
          <w:p w:rsidR="000E4B92" w:rsidRPr="00EF6481" w:rsidRDefault="00850CB4" w:rsidP="000E4B9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2,581</w:t>
            </w:r>
          </w:p>
        </w:tc>
        <w:tc>
          <w:tcPr>
            <w:tcW w:w="270" w:type="dxa"/>
          </w:tcPr>
          <w:p w:rsidR="000E4B92" w:rsidRPr="00EF6481" w:rsidRDefault="000E4B92" w:rsidP="000E4B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8" w:type="dxa"/>
          </w:tcPr>
          <w:p w:rsidR="000E4B92" w:rsidRDefault="009A2CC1" w:rsidP="000E4B9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  <w:r w:rsidRPr="009A2CC1">
              <w:rPr>
                <w:i/>
                <w:sz w:val="24"/>
                <w:szCs w:val="24"/>
                <w:vertAlign w:val="superscript"/>
              </w:rPr>
              <w:t>th</w:t>
            </w:r>
            <w:r>
              <w:rPr>
                <w:i/>
                <w:sz w:val="24"/>
                <w:szCs w:val="24"/>
              </w:rPr>
              <w:t xml:space="preserve"> Anniversary Event</w:t>
            </w:r>
          </w:p>
        </w:tc>
        <w:tc>
          <w:tcPr>
            <w:tcW w:w="1506" w:type="dxa"/>
          </w:tcPr>
          <w:p w:rsidR="000E4B92" w:rsidRDefault="009A2CC1" w:rsidP="000E4B9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9,900</w:t>
            </w:r>
          </w:p>
        </w:tc>
      </w:tr>
      <w:tr w:rsidR="00BB4B46" w:rsidRPr="00EF6481" w:rsidTr="0053756C">
        <w:tc>
          <w:tcPr>
            <w:tcW w:w="2515" w:type="dxa"/>
          </w:tcPr>
          <w:p w:rsidR="00EF61B3" w:rsidRPr="00EF6481" w:rsidRDefault="00EF61B3" w:rsidP="000E4B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EF61B3" w:rsidRPr="00EF6481" w:rsidRDefault="00EF61B3" w:rsidP="000E4B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</w:tcPr>
          <w:p w:rsidR="00EF61B3" w:rsidRPr="00EF6481" w:rsidRDefault="00EF61B3" w:rsidP="000E4B9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8" w:type="dxa"/>
          </w:tcPr>
          <w:p w:rsidR="00EF61B3" w:rsidRPr="00EF6481" w:rsidRDefault="00EF61B3" w:rsidP="000E4B9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Web/Computer</w:t>
            </w:r>
          </w:p>
        </w:tc>
        <w:tc>
          <w:tcPr>
            <w:tcW w:w="1506" w:type="dxa"/>
          </w:tcPr>
          <w:p w:rsidR="009A2CC1" w:rsidRPr="00EF6481" w:rsidRDefault="009A2CC1" w:rsidP="000E4B9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386</w:t>
            </w:r>
          </w:p>
        </w:tc>
      </w:tr>
      <w:tr w:rsidR="00BB4B46" w:rsidRPr="007D145D" w:rsidTr="0053756C">
        <w:tc>
          <w:tcPr>
            <w:tcW w:w="2515" w:type="dxa"/>
          </w:tcPr>
          <w:p w:rsidR="00EF61B3" w:rsidRPr="007D145D" w:rsidRDefault="00EF61B3" w:rsidP="0053756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EF61B3" w:rsidRPr="007D145D" w:rsidRDefault="00EF61B3" w:rsidP="0053756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</w:tcPr>
          <w:p w:rsidR="00EF61B3" w:rsidRPr="007D145D" w:rsidRDefault="00EF61B3" w:rsidP="0053756C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8" w:type="dxa"/>
          </w:tcPr>
          <w:p w:rsidR="00EF61B3" w:rsidRPr="007D145D" w:rsidRDefault="00EF61B3" w:rsidP="0053756C">
            <w:pPr>
              <w:contextualSpacing/>
              <w:rPr>
                <w:i/>
                <w:sz w:val="24"/>
                <w:szCs w:val="24"/>
              </w:rPr>
            </w:pPr>
            <w:r w:rsidRPr="007D145D">
              <w:rPr>
                <w:i/>
                <w:sz w:val="24"/>
                <w:szCs w:val="24"/>
              </w:rPr>
              <w:t>Miscellaneous</w:t>
            </w:r>
          </w:p>
        </w:tc>
        <w:tc>
          <w:tcPr>
            <w:tcW w:w="1506" w:type="dxa"/>
          </w:tcPr>
          <w:p w:rsidR="00EF61B3" w:rsidRPr="007D145D" w:rsidRDefault="009A2CC1" w:rsidP="0053756C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594</w:t>
            </w:r>
          </w:p>
        </w:tc>
      </w:tr>
      <w:tr w:rsidR="00BB4B46" w:rsidRPr="00EF6481" w:rsidTr="0053756C">
        <w:tc>
          <w:tcPr>
            <w:tcW w:w="2515" w:type="dxa"/>
          </w:tcPr>
          <w:p w:rsidR="00EF61B3" w:rsidRPr="00EF6481" w:rsidRDefault="00EF61B3" w:rsidP="0053756C">
            <w:pPr>
              <w:contextualSpacing/>
              <w:rPr>
                <w:b/>
                <w:i/>
                <w:sz w:val="24"/>
                <w:szCs w:val="24"/>
              </w:rPr>
            </w:pPr>
            <w:r w:rsidRPr="00EF6481"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733" w:type="dxa"/>
          </w:tcPr>
          <w:p w:rsidR="00EF61B3" w:rsidRPr="00EF6481" w:rsidRDefault="00850CB4" w:rsidP="0053756C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9A2CC1">
              <w:rPr>
                <w:b/>
                <w:i/>
                <w:sz w:val="24"/>
                <w:szCs w:val="24"/>
              </w:rPr>
              <w:t>7,761</w:t>
            </w:r>
          </w:p>
        </w:tc>
        <w:tc>
          <w:tcPr>
            <w:tcW w:w="270" w:type="dxa"/>
          </w:tcPr>
          <w:p w:rsidR="00EF61B3" w:rsidRPr="00EF6481" w:rsidRDefault="00EF61B3" w:rsidP="0053756C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18" w:type="dxa"/>
          </w:tcPr>
          <w:p w:rsidR="00EF61B3" w:rsidRPr="00EF6481" w:rsidRDefault="00EF61B3" w:rsidP="0053756C">
            <w:pPr>
              <w:contextualSpacing/>
              <w:rPr>
                <w:b/>
                <w:i/>
                <w:sz w:val="24"/>
                <w:szCs w:val="24"/>
              </w:rPr>
            </w:pPr>
            <w:r w:rsidRPr="00EF6481"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506" w:type="dxa"/>
          </w:tcPr>
          <w:p w:rsidR="00EF61B3" w:rsidRPr="00EF6481" w:rsidRDefault="00BB4B46" w:rsidP="0053756C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9A2CC1">
              <w:rPr>
                <w:b/>
                <w:i/>
                <w:sz w:val="24"/>
                <w:szCs w:val="24"/>
              </w:rPr>
              <w:t>8,917</w:t>
            </w:r>
          </w:p>
        </w:tc>
      </w:tr>
    </w:tbl>
    <w:p w:rsidR="00EF61B3" w:rsidRDefault="00EF61B3" w:rsidP="00EF61B3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F61B3" w:rsidRPr="00056D0B" w:rsidRDefault="00EF61B3" w:rsidP="00EF61B3">
      <w:pPr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S</w:t>
      </w:r>
      <w:r w:rsidRPr="00056D0B">
        <w:rPr>
          <w:rFonts w:ascii="Times New Roman" w:hAnsi="Times New Roman"/>
          <w:b/>
          <w:i/>
          <w:sz w:val="36"/>
          <w:szCs w:val="36"/>
        </w:rPr>
        <w:t>LIHC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081"/>
        <w:gridCol w:w="3081"/>
      </w:tblGrid>
      <w:tr w:rsidR="00EF61B3" w:rsidRPr="00056D0B" w:rsidTr="0053756C">
        <w:tc>
          <w:tcPr>
            <w:tcW w:w="3080" w:type="dxa"/>
          </w:tcPr>
          <w:p w:rsidR="00EF61B3" w:rsidRPr="00056D0B" w:rsidRDefault="00EF61B3" w:rsidP="0053756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Board</w:t>
            </w:r>
          </w:p>
        </w:tc>
        <w:tc>
          <w:tcPr>
            <w:tcW w:w="3081" w:type="dxa"/>
          </w:tcPr>
          <w:p w:rsidR="00EF61B3" w:rsidRPr="00056D0B" w:rsidRDefault="00EF61B3" w:rsidP="0053756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Associate</w:t>
            </w:r>
          </w:p>
        </w:tc>
        <w:tc>
          <w:tcPr>
            <w:tcW w:w="3081" w:type="dxa"/>
          </w:tcPr>
          <w:p w:rsidR="00EF61B3" w:rsidRPr="00056D0B" w:rsidRDefault="00EF61B3" w:rsidP="0053756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Supportive </w:t>
            </w:r>
          </w:p>
        </w:tc>
      </w:tr>
      <w:tr w:rsidR="00EF61B3" w:rsidRPr="00056D0B" w:rsidTr="0053756C">
        <w:tc>
          <w:tcPr>
            <w:tcW w:w="3080" w:type="dxa"/>
          </w:tcPr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The Arc of Spokane</w:t>
            </w:r>
          </w:p>
          <w:p w:rsidR="00EF61B3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Catholic Charitie</w:t>
            </w:r>
            <w:r w:rsidR="00B847E1" w:rsidRPr="008B7B00">
              <w:t xml:space="preserve">s </w:t>
            </w:r>
          </w:p>
          <w:p w:rsidR="00FE56D6" w:rsidRPr="008B7B00" w:rsidRDefault="00FE56D6" w:rsidP="0053756C">
            <w:pPr>
              <w:numPr>
                <w:ilvl w:val="0"/>
                <w:numId w:val="1"/>
              </w:numPr>
              <w:contextualSpacing/>
            </w:pPr>
            <w:r>
              <w:t>Common Wealth Agency</w:t>
            </w:r>
          </w:p>
          <w:p w:rsidR="00B847E1" w:rsidRPr="008B7B00" w:rsidRDefault="00EF61B3" w:rsidP="00FE56D6">
            <w:pPr>
              <w:numPr>
                <w:ilvl w:val="0"/>
                <w:numId w:val="1"/>
              </w:numPr>
              <w:contextualSpacing/>
            </w:pPr>
            <w:r w:rsidRPr="008B7B00">
              <w:t>Community Frameworks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Habitat for Humanity-Spokane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Housing Authority of Grant County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Inland Empire Residential Resources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Inland Northwest Bank</w:t>
            </w:r>
          </w:p>
          <w:p w:rsidR="00B847E1" w:rsidRPr="008B7B00" w:rsidRDefault="00B847E1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Pioneer Human Services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Rockwood Retirement Communities</w:t>
            </w:r>
          </w:p>
          <w:p w:rsidR="00B847E1" w:rsidRPr="008B7B00" w:rsidRDefault="00EF61B3" w:rsidP="00F74B8E">
            <w:pPr>
              <w:numPr>
                <w:ilvl w:val="0"/>
                <w:numId w:val="1"/>
              </w:numPr>
              <w:contextualSpacing/>
            </w:pPr>
            <w:r w:rsidRPr="008B7B00">
              <w:t>Salem Arms Community Housing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Spokane Housing Authority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Spokane Housing Ventures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SNAP</w:t>
            </w:r>
          </w:p>
          <w:p w:rsidR="00EF61B3" w:rsidRPr="00056D0B" w:rsidRDefault="00EF61B3" w:rsidP="0053756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8B7B00">
              <w:t>Volunteers of America</w:t>
            </w:r>
          </w:p>
        </w:tc>
        <w:tc>
          <w:tcPr>
            <w:tcW w:w="3081" w:type="dxa"/>
          </w:tcPr>
          <w:p w:rsidR="00EF61B3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 xml:space="preserve">Aging and Long Term Care of Eastern Washington </w:t>
            </w:r>
          </w:p>
          <w:p w:rsidR="00D4096E" w:rsidRPr="008B7B00" w:rsidRDefault="00D4096E" w:rsidP="0053756C">
            <w:pPr>
              <w:numPr>
                <w:ilvl w:val="0"/>
                <w:numId w:val="1"/>
              </w:numPr>
              <w:contextualSpacing/>
            </w:pPr>
            <w:r>
              <w:t>Better Health Together</w:t>
            </w:r>
          </w:p>
          <w:p w:rsidR="00EF61B3" w:rsidRDefault="00EF61B3" w:rsidP="00FE56D6">
            <w:pPr>
              <w:numPr>
                <w:ilvl w:val="0"/>
                <w:numId w:val="1"/>
              </w:numPr>
              <w:contextualSpacing/>
            </w:pPr>
            <w:r w:rsidRPr="008B7B00">
              <w:t>Building Changes</w:t>
            </w:r>
          </w:p>
          <w:p w:rsidR="00FE56D6" w:rsidRPr="008B7B00" w:rsidRDefault="00FE56D6" w:rsidP="00B847E1">
            <w:pPr>
              <w:numPr>
                <w:ilvl w:val="0"/>
                <w:numId w:val="1"/>
              </w:numPr>
              <w:contextualSpacing/>
            </w:pPr>
            <w:r>
              <w:t>Family Promise of Spokane</w:t>
            </w:r>
          </w:p>
          <w:p w:rsidR="00B847E1" w:rsidRPr="008B7B00" w:rsidRDefault="00B847E1" w:rsidP="0053756C">
            <w:pPr>
              <w:numPr>
                <w:ilvl w:val="0"/>
                <w:numId w:val="1"/>
              </w:numPr>
              <w:contextualSpacing/>
            </w:pPr>
            <w:r w:rsidRPr="008B7B00">
              <w:t xml:space="preserve">Frontier </w:t>
            </w:r>
            <w:proofErr w:type="spellStart"/>
            <w:r w:rsidRPr="008B7B00">
              <w:t>Behavioral</w:t>
            </w:r>
            <w:proofErr w:type="spellEnd"/>
            <w:r w:rsidRPr="008B7B00">
              <w:t xml:space="preserve"> Health</w:t>
            </w:r>
          </w:p>
          <w:p w:rsidR="00EF61B3" w:rsidRDefault="00EF61B3" w:rsidP="00B847E1">
            <w:pPr>
              <w:numPr>
                <w:ilvl w:val="0"/>
                <w:numId w:val="1"/>
              </w:numPr>
              <w:contextualSpacing/>
            </w:pPr>
            <w:r w:rsidRPr="008B7B00">
              <w:t>Impact Capital</w:t>
            </w:r>
          </w:p>
          <w:p w:rsidR="00D4096E" w:rsidRPr="008B7B00" w:rsidRDefault="00D4096E" w:rsidP="00B847E1">
            <w:pPr>
              <w:numPr>
                <w:ilvl w:val="0"/>
                <w:numId w:val="1"/>
              </w:numPr>
              <w:contextualSpacing/>
            </w:pPr>
            <w:r>
              <w:t xml:space="preserve">Inland Northwest Fuller </w:t>
            </w:r>
            <w:proofErr w:type="spellStart"/>
            <w:r>
              <w:t>Center</w:t>
            </w:r>
            <w:proofErr w:type="spellEnd"/>
            <w:r>
              <w:t xml:space="preserve"> for Housing</w:t>
            </w:r>
          </w:p>
          <w:p w:rsidR="00EF61B3" w:rsidRPr="008B7B00" w:rsidRDefault="00EF61B3" w:rsidP="00B847E1">
            <w:pPr>
              <w:numPr>
                <w:ilvl w:val="0"/>
                <w:numId w:val="1"/>
              </w:numPr>
              <w:contextualSpacing/>
            </w:pPr>
            <w:r w:rsidRPr="008B7B00">
              <w:t>Rebuilding Together Spokane</w:t>
            </w:r>
          </w:p>
          <w:p w:rsidR="00B847E1" w:rsidRPr="008B7B00" w:rsidRDefault="00B847E1" w:rsidP="00B847E1">
            <w:pPr>
              <w:numPr>
                <w:ilvl w:val="0"/>
                <w:numId w:val="1"/>
              </w:numPr>
              <w:contextualSpacing/>
            </w:pPr>
            <w:r w:rsidRPr="008B7B00">
              <w:t>Spokane Baptist Association Homes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Spokane Urban Ministries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The Salvation Army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Transitions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WA Community Reinvestment Assn.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WA State Housing Finance Commission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Whitman County CAC</w:t>
            </w:r>
          </w:p>
          <w:p w:rsidR="00EF61B3" w:rsidRPr="00056D0B" w:rsidRDefault="00EF61B3" w:rsidP="0053756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8B7B00">
              <w:t>YWCA of Spokane</w:t>
            </w:r>
          </w:p>
        </w:tc>
        <w:tc>
          <w:tcPr>
            <w:tcW w:w="3081" w:type="dxa"/>
          </w:tcPr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8B7B00">
              <w:t>AmericanWest</w:t>
            </w:r>
            <w:proofErr w:type="spellEnd"/>
            <w:r w:rsidRPr="008B7B00">
              <w:t xml:space="preserve"> Bank*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8B7B00">
              <w:t>Avista</w:t>
            </w:r>
            <w:proofErr w:type="spellEnd"/>
            <w:r w:rsidRPr="008B7B00">
              <w:t xml:space="preserve"> Utilities</w:t>
            </w:r>
          </w:p>
          <w:p w:rsidR="00EF61B3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Bank of America*</w:t>
            </w:r>
          </w:p>
          <w:p w:rsidR="00D4096E" w:rsidRPr="008B7B00" w:rsidRDefault="00D4096E" w:rsidP="0053756C">
            <w:pPr>
              <w:numPr>
                <w:ilvl w:val="0"/>
                <w:numId w:val="1"/>
              </w:numPr>
              <w:contextualSpacing/>
            </w:pPr>
            <w:r>
              <w:t>Banner Bank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Beacon Development Group</w:t>
            </w:r>
          </w:p>
          <w:p w:rsidR="00EF61B3" w:rsidRPr="008B7B00" w:rsidRDefault="00EF61B3" w:rsidP="00F74B8E">
            <w:pPr>
              <w:numPr>
                <w:ilvl w:val="0"/>
                <w:numId w:val="1"/>
              </w:numPr>
              <w:contextualSpacing/>
            </w:pPr>
            <w:r w:rsidRPr="008B7B00">
              <w:t>Campion Foundation*</w:t>
            </w:r>
          </w:p>
          <w:p w:rsidR="00EF61B3" w:rsidRDefault="00EF61B3" w:rsidP="008B7B00">
            <w:pPr>
              <w:numPr>
                <w:ilvl w:val="0"/>
                <w:numId w:val="1"/>
              </w:numPr>
              <w:contextualSpacing/>
            </w:pPr>
            <w:r w:rsidRPr="008B7B00">
              <w:t>Foster Pepper PLLC</w:t>
            </w:r>
          </w:p>
          <w:p w:rsidR="0059551F" w:rsidRDefault="0059551F" w:rsidP="008B7B00">
            <w:pPr>
              <w:numPr>
                <w:ilvl w:val="0"/>
                <w:numId w:val="1"/>
              </w:numPr>
              <w:contextualSpacing/>
            </w:pPr>
            <w:r>
              <w:t>JPMorgan Chase Bank*</w:t>
            </w:r>
          </w:p>
          <w:p w:rsidR="00F74B8E" w:rsidRPr="008B7B00" w:rsidRDefault="00F74B8E" w:rsidP="008B7B00">
            <w:pPr>
              <w:numPr>
                <w:ilvl w:val="0"/>
                <w:numId w:val="1"/>
              </w:numPr>
              <w:contextualSpacing/>
            </w:pPr>
            <w:r>
              <w:t>Molina Health Care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Mountain West Bank</w:t>
            </w:r>
          </w:p>
          <w:p w:rsidR="00EF61B3" w:rsidRDefault="00FE56D6" w:rsidP="0053756C">
            <w:pPr>
              <w:numPr>
                <w:ilvl w:val="0"/>
                <w:numId w:val="1"/>
              </w:numPr>
              <w:contextualSpacing/>
            </w:pPr>
            <w:r>
              <w:t>Umpqua Bank</w:t>
            </w:r>
          </w:p>
          <w:p w:rsidR="00D4096E" w:rsidRPr="008B7B00" w:rsidRDefault="00D4096E" w:rsidP="0053756C">
            <w:pPr>
              <w:numPr>
                <w:ilvl w:val="0"/>
                <w:numId w:val="1"/>
              </w:numPr>
              <w:contextualSpacing/>
            </w:pPr>
            <w:r>
              <w:t>United Health Care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Washington Trust Bank</w:t>
            </w:r>
            <w:r w:rsidR="00B42D66">
              <w:t>*</w:t>
            </w:r>
          </w:p>
          <w:p w:rsidR="00EF61B3" w:rsidRPr="008B7B00" w:rsidRDefault="00BF45E8" w:rsidP="0053756C">
            <w:pPr>
              <w:numPr>
                <w:ilvl w:val="0"/>
                <w:numId w:val="1"/>
              </w:numPr>
              <w:contextualSpacing/>
            </w:pPr>
            <w:r>
              <w:t>ZBA Architecture</w:t>
            </w:r>
          </w:p>
          <w:p w:rsidR="00EF61B3" w:rsidRPr="008B7B00" w:rsidRDefault="00EF61B3" w:rsidP="0053756C">
            <w:pPr>
              <w:numPr>
                <w:ilvl w:val="0"/>
                <w:numId w:val="1"/>
              </w:numPr>
              <w:contextualSpacing/>
            </w:pPr>
            <w:r w:rsidRPr="008B7B00">
              <w:t>Mary Jo Harvey</w:t>
            </w:r>
          </w:p>
          <w:p w:rsidR="00EF61B3" w:rsidRDefault="00EF61B3" w:rsidP="00F74B8E">
            <w:pPr>
              <w:numPr>
                <w:ilvl w:val="0"/>
                <w:numId w:val="1"/>
              </w:numPr>
              <w:contextualSpacing/>
            </w:pPr>
            <w:r w:rsidRPr="008B7B00">
              <w:t>Arlene Patton</w:t>
            </w:r>
          </w:p>
          <w:p w:rsidR="0059551F" w:rsidRPr="008B7B00" w:rsidRDefault="0059551F" w:rsidP="0053756C">
            <w:pPr>
              <w:numPr>
                <w:ilvl w:val="0"/>
                <w:numId w:val="1"/>
              </w:numPr>
              <w:contextualSpacing/>
            </w:pPr>
            <w:r>
              <w:t>Tim Williams</w:t>
            </w:r>
          </w:p>
          <w:p w:rsidR="00EF61B3" w:rsidRPr="008B7B00" w:rsidRDefault="00EF61B3" w:rsidP="0053756C">
            <w:pPr>
              <w:contextualSpacing/>
              <w:rPr>
                <w:b/>
                <w:i/>
              </w:rPr>
            </w:pPr>
          </w:p>
          <w:p w:rsidR="00EF61B3" w:rsidRPr="00561C12" w:rsidRDefault="00EF61B3" w:rsidP="0053756C">
            <w:pPr>
              <w:contextualSpacing/>
              <w:rPr>
                <w:b/>
                <w:i/>
              </w:rPr>
            </w:pPr>
            <w:r w:rsidRPr="008B7B00">
              <w:rPr>
                <w:b/>
                <w:i/>
              </w:rPr>
              <w:t>*Major underwriters and supporters</w:t>
            </w:r>
          </w:p>
        </w:tc>
      </w:tr>
    </w:tbl>
    <w:p w:rsidR="00EF61B3" w:rsidRPr="0014764A" w:rsidRDefault="00EF61B3" w:rsidP="00EF61B3">
      <w:pPr>
        <w:contextualSpacing/>
        <w:jc w:val="center"/>
        <w:rPr>
          <w:i/>
          <w:sz w:val="24"/>
          <w:szCs w:val="24"/>
        </w:rPr>
      </w:pPr>
      <w:r w:rsidRPr="0014764A">
        <w:rPr>
          <w:i/>
          <w:sz w:val="24"/>
          <w:szCs w:val="24"/>
        </w:rPr>
        <w:t xml:space="preserve">Visit SLIHC’s website at </w:t>
      </w:r>
      <w:hyperlink r:id="rId5" w:history="1">
        <w:r w:rsidRPr="0014764A">
          <w:rPr>
            <w:rStyle w:val="Hyperlink"/>
            <w:i/>
            <w:sz w:val="24"/>
            <w:szCs w:val="24"/>
          </w:rPr>
          <w:t>www.slihc.org</w:t>
        </w:r>
      </w:hyperlink>
      <w:r w:rsidRPr="0014764A">
        <w:rPr>
          <w:i/>
          <w:sz w:val="24"/>
          <w:szCs w:val="24"/>
        </w:rPr>
        <w:t xml:space="preserve"> to find out more about our members.</w:t>
      </w:r>
    </w:p>
    <w:p w:rsidR="00EF61B3" w:rsidRDefault="00EF61B3" w:rsidP="00EF61B3">
      <w:pPr>
        <w:contextualSpacing/>
        <w:jc w:val="center"/>
      </w:pPr>
    </w:p>
    <w:p w:rsidR="00EF61B3" w:rsidRPr="003D0C84" w:rsidRDefault="00EF61B3" w:rsidP="00EF61B3">
      <w:pPr>
        <w:contextualSpacing/>
        <w:jc w:val="center"/>
      </w:pPr>
      <w:r w:rsidRPr="003D0C84">
        <w:t xml:space="preserve">Staff:  Cindy Algeo, Executive Director, </w:t>
      </w:r>
      <w:hyperlink r:id="rId6" w:history="1">
        <w:r w:rsidRPr="003D0C84">
          <w:rPr>
            <w:rStyle w:val="Hyperlink"/>
          </w:rPr>
          <w:t>cindy@slihc.org</w:t>
        </w:r>
      </w:hyperlink>
    </w:p>
    <w:p w:rsidR="005C09BF" w:rsidRDefault="00EF61B3" w:rsidP="00620A96">
      <w:pPr>
        <w:jc w:val="center"/>
      </w:pPr>
      <w:r w:rsidRPr="003D0C84">
        <w:t>TE</w:t>
      </w:r>
      <w:r>
        <w:t xml:space="preserve">L 509-325-3235, FAX 509-325-3295, </w:t>
      </w:r>
      <w:r w:rsidR="00D4096E">
        <w:t>907 W. Riverside</w:t>
      </w:r>
      <w:r>
        <w:t>, Spokane WA 99201</w:t>
      </w:r>
    </w:p>
    <w:sectPr w:rsidR="005C09BF" w:rsidSect="00EF61B3">
      <w:pgSz w:w="11906" w:h="16838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46B5"/>
    <w:multiLevelType w:val="hybridMultilevel"/>
    <w:tmpl w:val="33FEEEF4"/>
    <w:lvl w:ilvl="0" w:tplc="0D26AE1E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2F86"/>
    <w:multiLevelType w:val="hybridMultilevel"/>
    <w:tmpl w:val="BF825DE2"/>
    <w:lvl w:ilvl="0" w:tplc="F7C6FD22">
      <w:start w:val="310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1B3"/>
    <w:rsid w:val="0001396B"/>
    <w:rsid w:val="00076FFA"/>
    <w:rsid w:val="0009670B"/>
    <w:rsid w:val="000E4B92"/>
    <w:rsid w:val="000F382C"/>
    <w:rsid w:val="001D6BE6"/>
    <w:rsid w:val="002352CE"/>
    <w:rsid w:val="00290E92"/>
    <w:rsid w:val="002B7A77"/>
    <w:rsid w:val="002D0B44"/>
    <w:rsid w:val="002F3677"/>
    <w:rsid w:val="00312DE2"/>
    <w:rsid w:val="003720CB"/>
    <w:rsid w:val="003E2FA5"/>
    <w:rsid w:val="004817DF"/>
    <w:rsid w:val="00505743"/>
    <w:rsid w:val="00522661"/>
    <w:rsid w:val="005425DF"/>
    <w:rsid w:val="0059551F"/>
    <w:rsid w:val="005C09BF"/>
    <w:rsid w:val="005C3E88"/>
    <w:rsid w:val="00620A96"/>
    <w:rsid w:val="00635167"/>
    <w:rsid w:val="006B0441"/>
    <w:rsid w:val="0078180C"/>
    <w:rsid w:val="007B11C2"/>
    <w:rsid w:val="00850CB4"/>
    <w:rsid w:val="008B7B00"/>
    <w:rsid w:val="008E5224"/>
    <w:rsid w:val="00911E4F"/>
    <w:rsid w:val="00946595"/>
    <w:rsid w:val="0099446B"/>
    <w:rsid w:val="009A2CC1"/>
    <w:rsid w:val="009F5245"/>
    <w:rsid w:val="00A772D8"/>
    <w:rsid w:val="00A860BE"/>
    <w:rsid w:val="00B204C3"/>
    <w:rsid w:val="00B21060"/>
    <w:rsid w:val="00B42D66"/>
    <w:rsid w:val="00B72AE2"/>
    <w:rsid w:val="00B847E1"/>
    <w:rsid w:val="00BB4B46"/>
    <w:rsid w:val="00BC4C5E"/>
    <w:rsid w:val="00BC727D"/>
    <w:rsid w:val="00BF45E8"/>
    <w:rsid w:val="00C2202C"/>
    <w:rsid w:val="00C23DF0"/>
    <w:rsid w:val="00C2576A"/>
    <w:rsid w:val="00C450B8"/>
    <w:rsid w:val="00CF5EED"/>
    <w:rsid w:val="00D4096E"/>
    <w:rsid w:val="00DB5362"/>
    <w:rsid w:val="00DD4897"/>
    <w:rsid w:val="00E04E36"/>
    <w:rsid w:val="00E612AB"/>
    <w:rsid w:val="00EA543A"/>
    <w:rsid w:val="00EF61B3"/>
    <w:rsid w:val="00F74B8E"/>
    <w:rsid w:val="00FA264D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1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4C5E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@slihc.org" TargetMode="External"/><Relationship Id="rId5" Type="http://schemas.openxmlformats.org/officeDocument/2006/relationships/hyperlink" Target="http://www.slih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Algeo</dc:creator>
  <cp:lastModifiedBy>Cindy Algeo</cp:lastModifiedBy>
  <cp:revision>4</cp:revision>
  <cp:lastPrinted>2015-10-02T19:06:00Z</cp:lastPrinted>
  <dcterms:created xsi:type="dcterms:W3CDTF">2016-04-20T19:56:00Z</dcterms:created>
  <dcterms:modified xsi:type="dcterms:W3CDTF">2016-04-20T20:45:00Z</dcterms:modified>
</cp:coreProperties>
</file>